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07D8803D" w:rsidR="007D1E76" w:rsidRDefault="00E334AB" w:rsidP="00CB41C4">
      <w:pPr>
        <w:tabs>
          <w:tab w:val="left" w:leader="underscore" w:pos="9639"/>
        </w:tabs>
        <w:spacing w:after="0" w:line="240" w:lineRule="auto"/>
        <w:jc w:val="center"/>
        <w:rPr>
          <w:rStyle w:val="Hipervnculo"/>
          <w:rFonts w:cs="Calibri"/>
          <w:b/>
          <w:sz w:val="28"/>
          <w:szCs w:val="28"/>
        </w:rPr>
      </w:pPr>
      <w:hyperlink r:id="rId11" w:history="1">
        <w:r w:rsidR="007D1E76" w:rsidRPr="00E74967">
          <w:rPr>
            <w:rStyle w:val="Hipervnculo"/>
            <w:rFonts w:cs="Calibri"/>
            <w:b/>
            <w:sz w:val="28"/>
            <w:szCs w:val="28"/>
          </w:rPr>
          <w:t>NOTAS DE GESTIÓN ADMINISTRATIVA</w:t>
        </w:r>
      </w:hyperlink>
    </w:p>
    <w:p w14:paraId="17BC5F5B" w14:textId="3C069624" w:rsidR="00A25CDE" w:rsidRDefault="00A25CDE" w:rsidP="00CB41C4">
      <w:pPr>
        <w:tabs>
          <w:tab w:val="left" w:leader="underscore" w:pos="9639"/>
        </w:tabs>
        <w:spacing w:after="0" w:line="240" w:lineRule="auto"/>
        <w:jc w:val="center"/>
        <w:rPr>
          <w:rStyle w:val="Hipervnculo"/>
          <w:rFonts w:cs="Calibri"/>
          <w:b/>
          <w:sz w:val="28"/>
          <w:szCs w:val="28"/>
        </w:rPr>
      </w:pPr>
    </w:p>
    <w:p w14:paraId="2FFA058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14:paraId="6FFE1C5F" w14:textId="314C0080" w:rsidR="00A25CDE" w:rsidRPr="00C25567" w:rsidRDefault="00A25CDE" w:rsidP="00A25CDE">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Actualmente ofrece las carreras de </w:t>
      </w:r>
      <w:r w:rsidRPr="0099131C">
        <w:rPr>
          <w:rFonts w:ascii="Arial" w:hAnsi="Arial" w:cs="Arial"/>
          <w:sz w:val="20"/>
          <w:szCs w:val="20"/>
          <w:u w:val="single"/>
        </w:rPr>
        <w:t>Ing. Ambiental, Ing. en Sistemas Computacionales, Ing. en Sistemas Automotrices, Ing. Industrial, Ing. Electrónica, Ing. en Gestión Empresarial y Lic. En Gastronomía. También cuenta con un Centro de Idiomas</w:t>
      </w:r>
      <w:r>
        <w:rPr>
          <w:rFonts w:ascii="Arial" w:hAnsi="Arial" w:cs="Arial"/>
          <w:sz w:val="20"/>
          <w:szCs w:val="20"/>
          <w:u w:val="single"/>
        </w:rPr>
        <w:t>.</w:t>
      </w:r>
    </w:p>
    <w:p w14:paraId="0299E4E5" w14:textId="77777777" w:rsidR="001F4A46" w:rsidRDefault="001F4A46" w:rsidP="00A25CDE">
      <w:pPr>
        <w:jc w:val="both"/>
        <w:rPr>
          <w:rFonts w:ascii="Arial" w:hAnsi="Arial" w:cs="Arial"/>
          <w:b/>
          <w:bCs/>
          <w:sz w:val="20"/>
          <w:szCs w:val="20"/>
        </w:rPr>
      </w:pPr>
    </w:p>
    <w:p w14:paraId="13FBFDD9" w14:textId="6FEA17A4"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2. Describir el panorama Económico y Financiero:</w:t>
      </w:r>
    </w:p>
    <w:p w14:paraId="2D1CE086" w14:textId="6B35BB01"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14:paraId="4EC6C416" w14:textId="77777777" w:rsidR="001F4A46" w:rsidRDefault="001F4A46" w:rsidP="00A25CDE">
      <w:pPr>
        <w:jc w:val="both"/>
        <w:rPr>
          <w:rFonts w:ascii="Arial" w:hAnsi="Arial" w:cs="Arial"/>
          <w:b/>
          <w:bCs/>
          <w:sz w:val="20"/>
          <w:szCs w:val="20"/>
        </w:rPr>
      </w:pPr>
    </w:p>
    <w:p w14:paraId="6EBBC99D" w14:textId="7703259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3. Autorización e Historia:</w:t>
      </w:r>
    </w:p>
    <w:p w14:paraId="6C9A302B" w14:textId="13CC8702"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A85BB3C" w14:textId="49AC4C4E"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14:paraId="63C5249C" w14:textId="1361BF2E" w:rsidR="00A25CDE" w:rsidRPr="00F377B6"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14:paraId="15E981C4" w14:textId="085EF86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14:paraId="0E4A47EC" w14:textId="28106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14:paraId="05BB854A" w14:textId="77777777" w:rsidR="001F4A46" w:rsidRDefault="001F4A46" w:rsidP="00A25CDE">
      <w:pPr>
        <w:jc w:val="both"/>
        <w:rPr>
          <w:rFonts w:ascii="Arial" w:hAnsi="Arial" w:cs="Arial"/>
          <w:b/>
          <w:bCs/>
          <w:sz w:val="20"/>
          <w:szCs w:val="20"/>
        </w:rPr>
      </w:pPr>
    </w:p>
    <w:p w14:paraId="710DC41B" w14:textId="5406035A" w:rsidR="00A25CDE" w:rsidRDefault="00A25CDE" w:rsidP="00A25CDE">
      <w:pPr>
        <w:jc w:val="both"/>
        <w:rPr>
          <w:rFonts w:ascii="Arial" w:hAnsi="Arial" w:cs="Arial"/>
          <w:b/>
          <w:bCs/>
          <w:sz w:val="20"/>
          <w:szCs w:val="20"/>
        </w:rPr>
      </w:pPr>
      <w:r w:rsidRPr="003B15B7">
        <w:rPr>
          <w:rFonts w:ascii="Arial" w:hAnsi="Arial" w:cs="Arial"/>
          <w:b/>
          <w:bCs/>
          <w:sz w:val="20"/>
          <w:szCs w:val="20"/>
        </w:rPr>
        <w:t>4. Organización y Objeto Social:</w:t>
      </w:r>
    </w:p>
    <w:p w14:paraId="1B6BBD3D" w14:textId="3787D547" w:rsidR="00A25CDE" w:rsidRPr="00A25CDE" w:rsidRDefault="00A25CDE" w:rsidP="00A25CDE">
      <w:pPr>
        <w:jc w:val="both"/>
        <w:rPr>
          <w:rFonts w:ascii="Arial" w:hAnsi="Arial" w:cs="Arial"/>
          <w:b/>
          <w:bCs/>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14:paraId="1DC35322" w14:textId="261F6801"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14:paraId="6958FD51"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14:paraId="15FAEE96"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14:paraId="53B2A1A9" w14:textId="77777777" w:rsidR="001F4A46"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w:t>
      </w:r>
    </w:p>
    <w:p w14:paraId="24F36528" w14:textId="77777777" w:rsidR="001F4A46" w:rsidRDefault="001F4A46" w:rsidP="001F4A46">
      <w:pPr>
        <w:pStyle w:val="Prrafodelista"/>
        <w:spacing w:line="360" w:lineRule="auto"/>
        <w:ind w:left="714"/>
        <w:jc w:val="both"/>
        <w:rPr>
          <w:rFonts w:ascii="Arial" w:hAnsi="Arial" w:cs="Arial"/>
          <w:sz w:val="20"/>
          <w:szCs w:val="20"/>
          <w:u w:val="single"/>
        </w:rPr>
      </w:pPr>
    </w:p>
    <w:p w14:paraId="569FA205" w14:textId="59CCE829" w:rsidR="00A25CDE" w:rsidRPr="00905023" w:rsidRDefault="00A25CDE" w:rsidP="001F4A46">
      <w:pPr>
        <w:pStyle w:val="Prrafodelista"/>
        <w:spacing w:line="360" w:lineRule="auto"/>
        <w:ind w:left="714"/>
        <w:jc w:val="both"/>
        <w:rPr>
          <w:rFonts w:ascii="Arial" w:hAnsi="Arial" w:cs="Arial"/>
          <w:sz w:val="20"/>
          <w:szCs w:val="20"/>
          <w:u w:val="single"/>
        </w:rPr>
      </w:pPr>
      <w:r w:rsidRPr="00905023">
        <w:rPr>
          <w:rFonts w:ascii="Arial" w:hAnsi="Arial" w:cs="Arial"/>
          <w:sz w:val="20"/>
          <w:szCs w:val="20"/>
          <w:u w:val="single"/>
        </w:rPr>
        <w:t>contribuyan al mejoramiento y mejor eficiencia de la producción de bienes o servicios, así como a la elevación de la calidad de vida de la comunidad apoyando las estrategias de desarrollo del Estado de Guanajuato;</w:t>
      </w:r>
    </w:p>
    <w:p w14:paraId="1FB64871" w14:textId="08B74F3D" w:rsidR="00A7345F" w:rsidRPr="001F4A46" w:rsidRDefault="00A25CDE" w:rsidP="001F4A4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14:paraId="301BA17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14:paraId="2F0D0A2C"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14:paraId="224C149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14:paraId="5BBE1608"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14:paraId="2660077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14:paraId="4D0A98C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14:paraId="2A92CCA7"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14:paraId="14CAE966" w14:textId="73B6477A" w:rsidR="00A25CDE" w:rsidRPr="00A7345F"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14:paraId="4768ABF2"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14:paraId="32F04775" w14:textId="02F0B0A5"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14:paraId="71CFB3E7" w14:textId="7BA16674"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14:paraId="4CE149DF" w14:textId="18325475" w:rsidR="00A25CDE" w:rsidRDefault="00A25CDE" w:rsidP="00A25CDE">
      <w:pPr>
        <w:jc w:val="both"/>
        <w:rPr>
          <w:rFonts w:ascii="Arial" w:hAnsi="Arial" w:cs="Arial"/>
          <w:sz w:val="20"/>
          <w:szCs w:val="20"/>
          <w:u w:val="single"/>
        </w:rPr>
      </w:pPr>
      <w:r w:rsidRPr="003B15B7">
        <w:rPr>
          <w:rFonts w:ascii="Arial" w:hAnsi="Arial" w:cs="Arial"/>
          <w:sz w:val="20"/>
          <w:szCs w:val="20"/>
          <w:u w:val="single"/>
        </w:rPr>
        <w:t>De enero a diciembre 20</w:t>
      </w:r>
      <w:r w:rsidR="00634BF0">
        <w:rPr>
          <w:rFonts w:ascii="Arial" w:hAnsi="Arial" w:cs="Arial"/>
          <w:sz w:val="20"/>
          <w:szCs w:val="20"/>
          <w:u w:val="single"/>
        </w:rPr>
        <w:t>21</w:t>
      </w:r>
      <w:r w:rsidRPr="003B15B7">
        <w:rPr>
          <w:rFonts w:ascii="Arial" w:hAnsi="Arial" w:cs="Arial"/>
          <w:sz w:val="20"/>
          <w:szCs w:val="20"/>
          <w:u w:val="single"/>
        </w:rPr>
        <w:t>.</w:t>
      </w:r>
    </w:p>
    <w:p w14:paraId="2085A6C5" w14:textId="54B8C8A7"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14:paraId="503DF5CB" w14:textId="68FDBDFF"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14:paraId="0270C4B9" w14:textId="52DA43D8"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14:paraId="1ADB5769" w14:textId="76476248"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14:paraId="2E28791F" w14:textId="6793A219" w:rsidR="001F4A46"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14:paraId="1CBE37EB" w14:textId="77777777" w:rsidR="00A25CDE" w:rsidRPr="003B15B7" w:rsidRDefault="00A25CDE" w:rsidP="00A25CDE">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14:paraId="6FEAB79C" w14:textId="6B87C698" w:rsidR="00A7345F" w:rsidRPr="001F4A46" w:rsidRDefault="00A25CDE" w:rsidP="001F4A4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14:paraId="69B9BB91" w14:textId="04AC7EBD"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14:paraId="155D8B63" w14:textId="77777777" w:rsidR="00A25CDE" w:rsidRPr="00D45318" w:rsidRDefault="00A25CDE" w:rsidP="00A25CDE">
      <w:pPr>
        <w:numPr>
          <w:ilvl w:val="0"/>
          <w:numId w:val="2"/>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14:paraId="1E391605" w14:textId="6C4412B2" w:rsidR="00A25CDE" w:rsidRDefault="00A25CDE" w:rsidP="00A25CDE">
      <w:pPr>
        <w:jc w:val="both"/>
        <w:rPr>
          <w:rFonts w:ascii="Arial" w:hAnsi="Arial" w:cs="Arial"/>
          <w:b/>
          <w:bCs/>
          <w:sz w:val="20"/>
          <w:szCs w:val="20"/>
        </w:rPr>
      </w:pPr>
    </w:p>
    <w:p w14:paraId="0A8E1A8C" w14:textId="77777777" w:rsidR="001F4A46" w:rsidRDefault="001F4A46" w:rsidP="00A25CDE">
      <w:pPr>
        <w:jc w:val="both"/>
        <w:rPr>
          <w:rFonts w:ascii="Arial" w:hAnsi="Arial" w:cs="Arial"/>
          <w:b/>
          <w:bCs/>
          <w:sz w:val="20"/>
          <w:szCs w:val="20"/>
        </w:rPr>
      </w:pPr>
    </w:p>
    <w:p w14:paraId="0F0E82F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14:paraId="3AC37D66" w14:textId="77777777" w:rsidR="00A25CDE" w:rsidRDefault="00A25CDE" w:rsidP="00A25CDE">
      <w:pPr>
        <w:jc w:val="both"/>
        <w:rPr>
          <w:rFonts w:ascii="Arial" w:hAnsi="Arial" w:cs="Arial"/>
          <w:sz w:val="20"/>
          <w:szCs w:val="20"/>
        </w:rPr>
      </w:pPr>
    </w:p>
    <w:p w14:paraId="78AE7DF4" w14:textId="77777777" w:rsidR="00A25CDE" w:rsidRDefault="00A25CDE" w:rsidP="00A25CDE">
      <w:pPr>
        <w:jc w:val="both"/>
        <w:rPr>
          <w:rFonts w:ascii="Arial" w:hAnsi="Arial" w:cs="Arial"/>
          <w:sz w:val="20"/>
          <w:szCs w:val="20"/>
        </w:rPr>
      </w:pPr>
      <w:r>
        <w:rPr>
          <w:noProof/>
          <w:lang w:eastAsia="es-MX"/>
        </w:rPr>
        <w:drawing>
          <wp:inline distT="0" distB="0" distL="0" distR="0" wp14:anchorId="7AFFE2F2" wp14:editId="6D1A5923">
            <wp:extent cx="6134875" cy="4532244"/>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922" t="11204" r="19540" b="6658"/>
                    <a:stretch/>
                  </pic:blipFill>
                  <pic:spPr bwMode="auto">
                    <a:xfrm>
                      <a:off x="0" y="0"/>
                      <a:ext cx="6180486" cy="4565940"/>
                    </a:xfrm>
                    <a:prstGeom prst="rect">
                      <a:avLst/>
                    </a:prstGeom>
                    <a:ln>
                      <a:noFill/>
                    </a:ln>
                    <a:extLst>
                      <a:ext uri="{53640926-AAD7-44D8-BBD7-CCE9431645EC}">
                        <a14:shadowObscured xmlns:a14="http://schemas.microsoft.com/office/drawing/2010/main"/>
                      </a:ext>
                    </a:extLst>
                  </pic:spPr>
                </pic:pic>
              </a:graphicData>
            </a:graphic>
          </wp:inline>
        </w:drawing>
      </w:r>
    </w:p>
    <w:p w14:paraId="339F33D3" w14:textId="6F7B6D83" w:rsidR="00A7345F" w:rsidRDefault="00A7345F" w:rsidP="00A25CDE">
      <w:pPr>
        <w:jc w:val="both"/>
        <w:rPr>
          <w:rFonts w:ascii="Arial" w:hAnsi="Arial" w:cs="Arial"/>
          <w:sz w:val="20"/>
          <w:szCs w:val="20"/>
        </w:rPr>
      </w:pPr>
    </w:p>
    <w:p w14:paraId="6D251C4B" w14:textId="77777777" w:rsidR="001F4A46" w:rsidRDefault="001F4A46" w:rsidP="00A25CDE">
      <w:pPr>
        <w:jc w:val="both"/>
        <w:rPr>
          <w:rFonts w:ascii="Arial" w:hAnsi="Arial" w:cs="Arial"/>
          <w:b/>
          <w:bCs/>
          <w:sz w:val="20"/>
          <w:szCs w:val="20"/>
        </w:rPr>
      </w:pPr>
    </w:p>
    <w:p w14:paraId="77612D05" w14:textId="70E59C04"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14:paraId="036E24E2" w14:textId="6DB69C40"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14:paraId="7B55F3D5" w14:textId="77777777" w:rsidR="001F4A46" w:rsidRDefault="001F4A46" w:rsidP="00A25CDE">
      <w:pPr>
        <w:jc w:val="both"/>
        <w:rPr>
          <w:rFonts w:ascii="Arial" w:hAnsi="Arial" w:cs="Arial"/>
          <w:b/>
          <w:bCs/>
          <w:sz w:val="20"/>
          <w:szCs w:val="20"/>
        </w:rPr>
      </w:pPr>
    </w:p>
    <w:p w14:paraId="1C4D0B12" w14:textId="3230205A"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5. Bases de Preparación de los Estados Financieros:</w:t>
      </w:r>
    </w:p>
    <w:p w14:paraId="6F8408E2" w14:textId="67CCBD7F"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14:paraId="709CD065" w14:textId="6F94C2E7" w:rsidR="00A25CDE" w:rsidRDefault="00A25CDE" w:rsidP="00A25CDE">
      <w:pPr>
        <w:jc w:val="both"/>
        <w:rPr>
          <w:rFonts w:ascii="Arial" w:hAnsi="Arial" w:cs="Arial"/>
          <w:sz w:val="20"/>
          <w:szCs w:val="20"/>
          <w:u w:val="single"/>
        </w:rPr>
      </w:pPr>
      <w:r>
        <w:rPr>
          <w:rFonts w:ascii="Arial" w:hAnsi="Arial" w:cs="Arial"/>
          <w:sz w:val="20"/>
          <w:szCs w:val="20"/>
          <w:u w:val="single"/>
        </w:rPr>
        <w:lastRenderedPageBreak/>
        <w:t xml:space="preserve">Los Estados Financieros se realizan en base y cumplimiento a la normatividad emitida por la Ley General de Contabilidad Gubernamental, sus postulados básicos y las leyes aplicables en la materia y los lineamientos emitidos por el Consejo Nacional de Armonización Contable. </w:t>
      </w:r>
    </w:p>
    <w:p w14:paraId="7E2C1AA9" w14:textId="2F2F12A3"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14:paraId="2FC3DE6E" w14:textId="70010C71" w:rsidR="00A25CDE" w:rsidRDefault="00A25CDE" w:rsidP="00A25CDE">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las normas emitidas por el CONAC.</w:t>
      </w:r>
    </w:p>
    <w:p w14:paraId="3A012A32" w14:textId="695EF711"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25056D7" w14:textId="25B396E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Las Bases de Preparación de los Estados Financieros observan </w:t>
      </w:r>
      <w:r>
        <w:rPr>
          <w:rFonts w:ascii="Arial" w:hAnsi="Arial" w:cs="Arial"/>
          <w:sz w:val="20"/>
          <w:szCs w:val="20"/>
          <w:u w:val="single"/>
        </w:rPr>
        <w:t xml:space="preserve">en </w:t>
      </w:r>
      <w:r w:rsidRPr="003B15B7">
        <w:rPr>
          <w:rFonts w:ascii="Arial" w:hAnsi="Arial" w:cs="Arial"/>
          <w:sz w:val="20"/>
          <w:szCs w:val="20"/>
          <w:u w:val="single"/>
        </w:rPr>
        <w:t>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B126FD" w14:textId="5D0AACA5"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14:paraId="61DD930D" w14:textId="7F296F71" w:rsidR="00A25CDE" w:rsidRDefault="00A25CDE" w:rsidP="00A25CDE">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14:paraId="74710C18" w14:textId="748E2C79"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4C670A6" w14:textId="0EEE4E2F"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14:paraId="1B9F9D98" w14:textId="0F794E5D"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devengada de acuerdo a la Ley de Contabilidad, deberán:</w:t>
      </w:r>
    </w:p>
    <w:p w14:paraId="662E2C27" w14:textId="6EAE1496" w:rsidR="00A25CDE" w:rsidRPr="003B15B7" w:rsidRDefault="00A25CDE" w:rsidP="00A25CDE">
      <w:pPr>
        <w:jc w:val="both"/>
        <w:rPr>
          <w:rFonts w:ascii="Arial" w:hAnsi="Arial" w:cs="Arial"/>
          <w:sz w:val="20"/>
          <w:szCs w:val="20"/>
        </w:rPr>
      </w:pPr>
      <w:r w:rsidRPr="003B15B7">
        <w:rPr>
          <w:rFonts w:ascii="Arial" w:hAnsi="Arial" w:cs="Arial"/>
          <w:sz w:val="20"/>
          <w:szCs w:val="20"/>
        </w:rPr>
        <w:t>*Revelar las nuevas políticas de reconocimiento:</w:t>
      </w:r>
    </w:p>
    <w:p w14:paraId="5E141C79" w14:textId="21145407" w:rsidR="00A25CDE"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29CE2727" w14:textId="136E9994" w:rsidR="00A25CDE" w:rsidRDefault="00A25CDE" w:rsidP="00A25CDE">
      <w:pPr>
        <w:jc w:val="both"/>
        <w:rPr>
          <w:rFonts w:ascii="Arial" w:hAnsi="Arial" w:cs="Arial"/>
          <w:sz w:val="20"/>
          <w:szCs w:val="20"/>
        </w:rPr>
      </w:pPr>
      <w:r>
        <w:rPr>
          <w:rFonts w:ascii="Arial" w:hAnsi="Arial" w:cs="Arial"/>
          <w:sz w:val="20"/>
          <w:szCs w:val="20"/>
        </w:rPr>
        <w:t>*Plan de implementación:</w:t>
      </w:r>
    </w:p>
    <w:p w14:paraId="53E8DE8C" w14:textId="6C746D06" w:rsidR="00A25CDE" w:rsidRPr="003B15B7" w:rsidRDefault="00A25CDE" w:rsidP="00A25CDE">
      <w:pPr>
        <w:jc w:val="both"/>
        <w:rPr>
          <w:rFonts w:ascii="Arial" w:hAnsi="Arial" w:cs="Arial"/>
          <w:sz w:val="20"/>
          <w:szCs w:val="20"/>
          <w:u w:val="single"/>
        </w:rPr>
      </w:pPr>
      <w:r>
        <w:rPr>
          <w:rFonts w:ascii="Arial" w:hAnsi="Arial" w:cs="Arial"/>
          <w:sz w:val="20"/>
          <w:szCs w:val="20"/>
          <w:u w:val="single"/>
        </w:rPr>
        <w:t xml:space="preserve">Es el Poder Ejecutivo </w:t>
      </w:r>
      <w:r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14:paraId="6CE50857" w14:textId="65B9E72E" w:rsidR="00A25CDE" w:rsidRPr="003B15B7" w:rsidRDefault="00A25CDE" w:rsidP="00A25CDE">
      <w:pPr>
        <w:jc w:val="both"/>
        <w:rPr>
          <w:rFonts w:ascii="Arial" w:hAnsi="Arial" w:cs="Arial"/>
          <w:sz w:val="20"/>
          <w:szCs w:val="20"/>
        </w:rPr>
      </w:pPr>
      <w:r w:rsidRPr="003B15B7">
        <w:rPr>
          <w:rFonts w:ascii="Arial" w:hAnsi="Arial" w:cs="Arial"/>
          <w:sz w:val="20"/>
          <w:szCs w:val="20"/>
        </w:rPr>
        <w:lastRenderedPageBreak/>
        <w:t>*Revelar los cambios en las políticas, la clasificación y medición de las mismas, así como su impacto en la información financiera:</w:t>
      </w:r>
    </w:p>
    <w:p w14:paraId="60113F9A" w14:textId="73C98728" w:rsidR="00A25CDE"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1C333711" w14:textId="77777777" w:rsidR="001F4A46" w:rsidRDefault="001F4A46" w:rsidP="00A25CDE">
      <w:pPr>
        <w:jc w:val="both"/>
        <w:rPr>
          <w:rFonts w:ascii="Arial" w:hAnsi="Arial" w:cs="Arial"/>
          <w:b/>
          <w:bCs/>
          <w:sz w:val="20"/>
          <w:szCs w:val="20"/>
        </w:rPr>
      </w:pPr>
    </w:p>
    <w:p w14:paraId="108CC4E0" w14:textId="30071EBE"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6. Políticas de Contabilidad Significativas:</w:t>
      </w:r>
    </w:p>
    <w:p w14:paraId="7FCF9A8E" w14:textId="7E9E37FD"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10371F04" w14:textId="32359EA8"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14:paraId="759FD8D4" w14:textId="405649D5"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14:paraId="13963912" w14:textId="30DD80B3"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14:paraId="0CE1CB50" w14:textId="71B930D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14:paraId="1DD1848B" w14:textId="38D49A91"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14:paraId="058CA38E" w14:textId="62DA3977" w:rsidR="00A25CDE"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7FE909CD" w14:textId="58EA81C4"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14:paraId="24A5ADAC" w14:textId="369538B4" w:rsidR="00A25CDE" w:rsidRPr="00634D57" w:rsidRDefault="00A25CDE" w:rsidP="00A25CDE">
      <w:pPr>
        <w:jc w:val="both"/>
        <w:rPr>
          <w:rFonts w:ascii="Arial" w:hAnsi="Arial" w:cs="Arial"/>
          <w:sz w:val="20"/>
          <w:szCs w:val="20"/>
          <w:u w:val="single"/>
        </w:rPr>
      </w:pPr>
      <w:r>
        <w:rPr>
          <w:rFonts w:ascii="Arial" w:hAnsi="Arial" w:cs="Arial"/>
          <w:sz w:val="20"/>
          <w:szCs w:val="20"/>
          <w:u w:val="single"/>
        </w:rPr>
        <w:t>No aplica</w:t>
      </w:r>
    </w:p>
    <w:p w14:paraId="1274D616" w14:textId="2F85154C"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3D7368DF" w14:textId="29DCD53E" w:rsidR="00A25CDE" w:rsidRDefault="00A25CDE" w:rsidP="00A25CDE">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14:paraId="01069030" w14:textId="0F352BAA" w:rsidR="00A25CDE"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14:paraId="7C5F7F2D" w14:textId="57724993" w:rsidR="00A25CDE" w:rsidRDefault="00A25CDE" w:rsidP="00A25CDE">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cada fin de mes son el pago de las cuotas al I.M.S.S. y el pago de impuesto sobre nómina. </w:t>
      </w:r>
    </w:p>
    <w:p w14:paraId="3A8F063F" w14:textId="3846358A"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14:paraId="4D5624F9" w14:textId="1027DC78"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Pr>
          <w:rFonts w:ascii="Arial" w:hAnsi="Arial" w:cs="Arial"/>
          <w:sz w:val="20"/>
          <w:szCs w:val="20"/>
          <w:u w:val="single"/>
        </w:rPr>
        <w:t>3</w:t>
      </w:r>
      <w:r w:rsidR="00145C94">
        <w:rPr>
          <w:rFonts w:ascii="Arial" w:hAnsi="Arial" w:cs="Arial"/>
          <w:sz w:val="20"/>
          <w:szCs w:val="20"/>
          <w:u w:val="single"/>
        </w:rPr>
        <w:t>1</w:t>
      </w:r>
      <w:r>
        <w:rPr>
          <w:rFonts w:ascii="Arial" w:hAnsi="Arial" w:cs="Arial"/>
          <w:sz w:val="20"/>
          <w:szCs w:val="20"/>
          <w:u w:val="single"/>
        </w:rPr>
        <w:t>.</w:t>
      </w:r>
      <w:r w:rsidR="00634BF0">
        <w:rPr>
          <w:rFonts w:ascii="Arial" w:hAnsi="Arial" w:cs="Arial"/>
          <w:sz w:val="20"/>
          <w:szCs w:val="20"/>
          <w:u w:val="single"/>
        </w:rPr>
        <w:t>03</w:t>
      </w:r>
      <w:r>
        <w:rPr>
          <w:rFonts w:ascii="Arial" w:hAnsi="Arial" w:cs="Arial"/>
          <w:sz w:val="20"/>
          <w:szCs w:val="20"/>
          <w:u w:val="single"/>
        </w:rPr>
        <w:t>.202</w:t>
      </w:r>
      <w:r w:rsidR="00634BF0">
        <w:rPr>
          <w:rFonts w:ascii="Arial" w:hAnsi="Arial" w:cs="Arial"/>
          <w:sz w:val="20"/>
          <w:szCs w:val="20"/>
          <w:u w:val="single"/>
        </w:rPr>
        <w:t>1</w:t>
      </w:r>
      <w:r>
        <w:rPr>
          <w:rFonts w:ascii="Arial" w:hAnsi="Arial" w:cs="Arial"/>
          <w:sz w:val="20"/>
          <w:szCs w:val="20"/>
          <w:u w:val="single"/>
        </w:rPr>
        <w:t xml:space="preserve"> </w:t>
      </w:r>
      <w:r w:rsidRPr="003B15B7">
        <w:rPr>
          <w:rFonts w:ascii="Arial" w:hAnsi="Arial" w:cs="Arial"/>
          <w:sz w:val="20"/>
          <w:szCs w:val="20"/>
          <w:u w:val="single"/>
        </w:rPr>
        <w:t xml:space="preserve">de $ </w:t>
      </w:r>
      <w:r>
        <w:rPr>
          <w:rFonts w:ascii="Arial" w:hAnsi="Arial" w:cs="Arial"/>
          <w:sz w:val="20"/>
          <w:szCs w:val="20"/>
          <w:u w:val="single"/>
        </w:rPr>
        <w:t>3,</w:t>
      </w:r>
      <w:r w:rsidR="00145C94">
        <w:rPr>
          <w:rFonts w:ascii="Arial" w:hAnsi="Arial" w:cs="Arial"/>
          <w:sz w:val="20"/>
          <w:szCs w:val="20"/>
          <w:u w:val="single"/>
        </w:rPr>
        <w:t>720,793.05</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14:paraId="076477CE" w14:textId="05DE1C87" w:rsidR="00A25CDE"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34E22166" w14:textId="7F0E868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14:paraId="0EF45618" w14:textId="110CE31B" w:rsidR="00A25CDE" w:rsidRDefault="00A25CDE" w:rsidP="00A25CDE">
      <w:pPr>
        <w:jc w:val="both"/>
        <w:rPr>
          <w:rFonts w:ascii="Arial" w:hAnsi="Arial" w:cs="Arial"/>
          <w:sz w:val="20"/>
          <w:szCs w:val="20"/>
        </w:rPr>
      </w:pPr>
      <w:r w:rsidRPr="003B15B7">
        <w:rPr>
          <w:rFonts w:ascii="Arial" w:hAnsi="Arial" w:cs="Arial"/>
          <w:b/>
          <w:bCs/>
          <w:sz w:val="20"/>
          <w:szCs w:val="20"/>
        </w:rPr>
        <w:lastRenderedPageBreak/>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14:paraId="2874DCA1" w14:textId="334DABC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14:paraId="7FD7D4B9" w14:textId="3E1C9E77" w:rsidR="00A25CDE" w:rsidRDefault="00A25CDE" w:rsidP="00A25CDE">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14:paraId="697C69B3" w14:textId="35801983" w:rsidR="00A25CDE" w:rsidRDefault="00A25CDE" w:rsidP="00A25CDE">
      <w:pPr>
        <w:jc w:val="both"/>
        <w:rPr>
          <w:rFonts w:ascii="Arial" w:hAnsi="Arial" w:cs="Arial"/>
          <w:sz w:val="20"/>
          <w:szCs w:val="20"/>
          <w:u w:val="single"/>
        </w:rPr>
      </w:pPr>
      <w:r>
        <w:rPr>
          <w:rFonts w:ascii="Arial" w:hAnsi="Arial" w:cs="Arial"/>
          <w:sz w:val="20"/>
          <w:szCs w:val="20"/>
          <w:u w:val="single"/>
        </w:rPr>
        <w:t xml:space="preserve">No aplica. </w:t>
      </w:r>
    </w:p>
    <w:p w14:paraId="02AE5044" w14:textId="0A3E76E6"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14:paraId="52CAAA29" w14:textId="0A484C63"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D640FEE" w14:textId="74D9ED64"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14:paraId="717D6774" w14:textId="4235DA6A"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 El ITSUR no tiene activos registrados en moneda extranjera.</w:t>
      </w:r>
    </w:p>
    <w:p w14:paraId="6546B189" w14:textId="620EFE01"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14:paraId="31EEF03F" w14:textId="007C6B1B"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14:paraId="682BE98D" w14:textId="7427093E" w:rsidR="00A25CDE" w:rsidRDefault="00A25CDE" w:rsidP="00A25CDE">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14:paraId="4B69480B" w14:textId="367362A6"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20FD9E8C" w14:textId="7CC46725"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14:paraId="7E750774" w14:textId="73DBB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075D15BA" w14:textId="2B005F68" w:rsidR="00A25CDE" w:rsidRPr="003B15B7"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14:paraId="2AF2397F" w14:textId="7A68FB14"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389533F1" w14:textId="3F2C775B"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8. Reporte Analítico del Activo:</w:t>
      </w:r>
    </w:p>
    <w:p w14:paraId="5DF1BB50" w14:textId="0C623D4F" w:rsidR="00A25CDE" w:rsidRPr="003B15B7" w:rsidRDefault="00A25CDE" w:rsidP="00A25CDE">
      <w:pPr>
        <w:jc w:val="both"/>
        <w:rPr>
          <w:rFonts w:ascii="Arial" w:hAnsi="Arial" w:cs="Arial"/>
          <w:sz w:val="20"/>
          <w:szCs w:val="20"/>
        </w:rPr>
      </w:pPr>
      <w:r w:rsidRPr="003B15B7">
        <w:rPr>
          <w:rFonts w:ascii="Arial" w:hAnsi="Arial" w:cs="Arial"/>
          <w:sz w:val="20"/>
          <w:szCs w:val="20"/>
        </w:rPr>
        <w:t>Debe mostrar la siguiente información:</w:t>
      </w:r>
    </w:p>
    <w:p w14:paraId="658895E9" w14:textId="0C2F866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14:paraId="4EE8F406" w14:textId="49407E10" w:rsidR="00A25CDE" w:rsidRDefault="00A25CDE" w:rsidP="00A25CDE">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14:paraId="788C0EFB" w14:textId="38325A3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14:paraId="7FCE9B0D" w14:textId="25E2DFCE"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14:paraId="2D481D65" w14:textId="0B78791E"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14:paraId="0A092097" w14:textId="3591A0FF"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27A1E648" w14:textId="77777777" w:rsidR="00A6238A" w:rsidRDefault="00A6238A" w:rsidP="00A25CDE">
      <w:pPr>
        <w:jc w:val="both"/>
        <w:rPr>
          <w:rFonts w:ascii="Arial" w:hAnsi="Arial" w:cs="Arial"/>
          <w:b/>
          <w:bCs/>
          <w:sz w:val="20"/>
          <w:szCs w:val="20"/>
        </w:rPr>
      </w:pPr>
    </w:p>
    <w:p w14:paraId="33B28CBB" w14:textId="445C652A" w:rsidR="00A25CDE" w:rsidRPr="003B15B7" w:rsidRDefault="00A25CDE" w:rsidP="00A25CDE">
      <w:pPr>
        <w:jc w:val="both"/>
        <w:rPr>
          <w:rFonts w:ascii="Arial" w:hAnsi="Arial" w:cs="Arial"/>
          <w:sz w:val="20"/>
          <w:szCs w:val="20"/>
        </w:rPr>
      </w:pPr>
      <w:r w:rsidRPr="003B15B7">
        <w:rPr>
          <w:rFonts w:ascii="Arial" w:hAnsi="Arial" w:cs="Arial"/>
          <w:b/>
          <w:bCs/>
          <w:sz w:val="20"/>
          <w:szCs w:val="20"/>
        </w:rPr>
        <w:lastRenderedPageBreak/>
        <w:t>d)</w:t>
      </w:r>
      <w:r w:rsidRPr="003B15B7">
        <w:rPr>
          <w:rFonts w:ascii="Arial" w:hAnsi="Arial" w:cs="Arial"/>
          <w:sz w:val="20"/>
          <w:szCs w:val="20"/>
        </w:rPr>
        <w:t xml:space="preserve"> Riegos por tipo de cambio o tipo de interés de las inversiones financieras:</w:t>
      </w:r>
    </w:p>
    <w:p w14:paraId="678C8262" w14:textId="49342C7C" w:rsidR="00A25CDE" w:rsidRDefault="00A25CDE" w:rsidP="00A25CDE">
      <w:pPr>
        <w:jc w:val="both"/>
        <w:rPr>
          <w:rFonts w:ascii="Arial" w:hAnsi="Arial" w:cs="Arial"/>
          <w:sz w:val="20"/>
          <w:szCs w:val="20"/>
          <w:u w:val="single"/>
        </w:rPr>
      </w:pPr>
      <w:r>
        <w:rPr>
          <w:rFonts w:ascii="Arial" w:hAnsi="Arial" w:cs="Arial"/>
          <w:sz w:val="20"/>
          <w:szCs w:val="20"/>
          <w:u w:val="single"/>
        </w:rPr>
        <w:t>El ITSUR actualmente no cuenta con inversiones financieras.</w:t>
      </w:r>
      <w:r w:rsidRPr="003B15B7">
        <w:rPr>
          <w:rFonts w:ascii="Arial" w:hAnsi="Arial" w:cs="Arial"/>
          <w:sz w:val="20"/>
          <w:szCs w:val="20"/>
          <w:u w:val="single"/>
        </w:rPr>
        <w:t xml:space="preserve"> </w:t>
      </w:r>
    </w:p>
    <w:p w14:paraId="14A3567D" w14:textId="610945C0" w:rsidR="00A25CDE"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14:paraId="16DAD8EC" w14:textId="03CFBEB2" w:rsidR="00A25CDE" w:rsidRPr="000E0998" w:rsidRDefault="00A25CDE" w:rsidP="00A25CDE">
      <w:pPr>
        <w:jc w:val="both"/>
        <w:rPr>
          <w:rFonts w:ascii="Arial" w:hAnsi="Arial" w:cs="Arial"/>
          <w:sz w:val="20"/>
          <w:szCs w:val="20"/>
          <w:u w:val="single"/>
        </w:rPr>
      </w:pPr>
      <w:r>
        <w:rPr>
          <w:rFonts w:ascii="Arial" w:hAnsi="Arial" w:cs="Arial"/>
          <w:sz w:val="20"/>
          <w:szCs w:val="20"/>
        </w:rPr>
        <w:t xml:space="preserve"> </w:t>
      </w:r>
      <w:r w:rsidRPr="000E0998">
        <w:rPr>
          <w:rFonts w:ascii="Arial" w:hAnsi="Arial" w:cs="Arial"/>
          <w:sz w:val="20"/>
          <w:szCs w:val="20"/>
          <w:u w:val="single"/>
        </w:rPr>
        <w:t>No aplica.</w:t>
      </w:r>
    </w:p>
    <w:p w14:paraId="49990B93" w14:textId="4EE77585"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DE6ADEA" w14:textId="589E972D" w:rsidR="00A25CDE" w:rsidRPr="003B15B7" w:rsidRDefault="00A25CDE" w:rsidP="00A25CDE">
      <w:pPr>
        <w:jc w:val="both"/>
        <w:rPr>
          <w:rFonts w:ascii="Arial" w:hAnsi="Arial" w:cs="Arial"/>
          <w:sz w:val="20"/>
          <w:szCs w:val="20"/>
          <w:u w:val="single"/>
        </w:rPr>
      </w:pPr>
      <w:r>
        <w:rPr>
          <w:rFonts w:ascii="Arial" w:hAnsi="Arial" w:cs="Arial"/>
          <w:sz w:val="20"/>
          <w:szCs w:val="20"/>
          <w:u w:val="single"/>
        </w:rPr>
        <w:t xml:space="preserve">No </w:t>
      </w:r>
      <w:r w:rsidR="00A6238A">
        <w:rPr>
          <w:rFonts w:ascii="Arial" w:hAnsi="Arial" w:cs="Arial"/>
          <w:sz w:val="20"/>
          <w:szCs w:val="20"/>
          <w:u w:val="single"/>
        </w:rPr>
        <w:t>hay información a reportar en este período.</w:t>
      </w:r>
    </w:p>
    <w:p w14:paraId="71762108" w14:textId="4ABF58F8"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14:paraId="715C485E" w14:textId="28C5682F" w:rsidR="00A25CDE" w:rsidRDefault="00A25CDE" w:rsidP="00A25CDE">
      <w:pPr>
        <w:jc w:val="both"/>
        <w:rPr>
          <w:rFonts w:ascii="Arial" w:hAnsi="Arial" w:cs="Arial"/>
          <w:sz w:val="20"/>
          <w:szCs w:val="20"/>
          <w:u w:val="single"/>
        </w:rPr>
      </w:pPr>
      <w:r>
        <w:rPr>
          <w:rFonts w:ascii="Arial" w:hAnsi="Arial" w:cs="Arial"/>
          <w:sz w:val="20"/>
          <w:szCs w:val="20"/>
          <w:u w:val="single"/>
        </w:rPr>
        <w:t>No aplica</w:t>
      </w:r>
      <w:r w:rsidRPr="003B15B7">
        <w:rPr>
          <w:rFonts w:ascii="Arial" w:hAnsi="Arial" w:cs="Arial"/>
          <w:sz w:val="20"/>
          <w:szCs w:val="20"/>
          <w:u w:val="single"/>
        </w:rPr>
        <w:t xml:space="preserve">. </w:t>
      </w:r>
    </w:p>
    <w:p w14:paraId="52FFFDF5" w14:textId="15761DA2" w:rsidR="00A25CDE"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14:paraId="44749835" w14:textId="37F9773D" w:rsidR="00A25CDE" w:rsidRDefault="00A25CDE" w:rsidP="00A25CDE">
      <w:pPr>
        <w:jc w:val="both"/>
        <w:rPr>
          <w:rFonts w:ascii="Arial" w:hAnsi="Arial" w:cs="Arial"/>
          <w:sz w:val="20"/>
          <w:szCs w:val="20"/>
          <w:u w:val="single"/>
        </w:rPr>
      </w:pPr>
      <w:r>
        <w:rPr>
          <w:rFonts w:ascii="Arial" w:hAnsi="Arial" w:cs="Arial"/>
          <w:sz w:val="20"/>
          <w:szCs w:val="20"/>
          <w:u w:val="single"/>
        </w:rPr>
        <w:t>Dentro del Sistema de Gestión Integral de los Institutos Tecnológicos Descentralizados de grupo de Multisitios 1AB en el cual se encuentra el ITSUR se cuenta con un procedimiento para mantener la Infraestructura y Equipo en condiciones para lograr la conformidad con los requisitos del servicio educativo.</w:t>
      </w:r>
    </w:p>
    <w:p w14:paraId="48000C89" w14:textId="77777777" w:rsidR="00A25CDE" w:rsidRDefault="00A25CDE" w:rsidP="00A25CDE">
      <w:pPr>
        <w:jc w:val="both"/>
        <w:rPr>
          <w:rFonts w:ascii="Arial" w:hAnsi="Arial" w:cs="Arial"/>
          <w:sz w:val="20"/>
          <w:szCs w:val="20"/>
          <w:u w:val="single"/>
        </w:rPr>
      </w:pPr>
    </w:p>
    <w:p w14:paraId="0CEF849F" w14:textId="24C5DCBB" w:rsidR="00A25CDE" w:rsidRDefault="00A25CDE" w:rsidP="00A25CDE">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14:paraId="5C4F202D" w14:textId="751C2FDF"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14:paraId="1F349318" w14:textId="5B9FDC5C" w:rsidR="00A25CDE" w:rsidRDefault="00E012A1" w:rsidP="00A25CDE">
      <w:pPr>
        <w:jc w:val="both"/>
        <w:rPr>
          <w:rFonts w:ascii="Arial" w:hAnsi="Arial" w:cs="Arial"/>
          <w:sz w:val="20"/>
          <w:szCs w:val="20"/>
          <w:u w:val="single"/>
        </w:rPr>
      </w:pPr>
      <w:r>
        <w:rPr>
          <w:rFonts w:ascii="Arial" w:hAnsi="Arial" w:cs="Arial"/>
          <w:sz w:val="20"/>
          <w:szCs w:val="20"/>
          <w:u w:val="single"/>
        </w:rPr>
        <w:t>El ITSUR no tiene inversión en valores.</w:t>
      </w:r>
    </w:p>
    <w:p w14:paraId="2743A6C4" w14:textId="1C02C5C3"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14:paraId="59B80E82" w14:textId="49E616AC" w:rsidR="00A25CDE" w:rsidRDefault="00A25CDE" w:rsidP="00A25CDE">
      <w:pPr>
        <w:jc w:val="both"/>
        <w:rPr>
          <w:rFonts w:ascii="Arial" w:hAnsi="Arial" w:cs="Arial"/>
          <w:sz w:val="20"/>
          <w:szCs w:val="20"/>
          <w:u w:val="single"/>
        </w:rPr>
      </w:pPr>
      <w:r w:rsidRPr="00047CE0">
        <w:rPr>
          <w:rFonts w:ascii="Arial" w:hAnsi="Arial" w:cs="Arial"/>
          <w:sz w:val="20"/>
          <w:szCs w:val="20"/>
          <w:u w:val="single"/>
        </w:rPr>
        <w:t>No aplica.</w:t>
      </w:r>
    </w:p>
    <w:p w14:paraId="0E2BC998" w14:textId="689CF3A2"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14:paraId="244EB3F6" w14:textId="3280654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79507E3" w14:textId="7084D4BE"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14:paraId="2D672164" w14:textId="6409D472"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6D128861" w14:textId="412FBC0C" w:rsidR="00A25CDE"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14:paraId="5058BC9D" w14:textId="68B67326" w:rsidR="00A25CDE"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6CE61177" w14:textId="79530CBD" w:rsidR="00A25CDE" w:rsidRDefault="00A25CDE" w:rsidP="00A25CDE">
      <w:pPr>
        <w:jc w:val="both"/>
        <w:rPr>
          <w:rFonts w:ascii="Arial" w:hAnsi="Arial" w:cs="Arial"/>
          <w:b/>
          <w:bCs/>
          <w:sz w:val="20"/>
          <w:szCs w:val="20"/>
        </w:rPr>
      </w:pPr>
      <w:r w:rsidRPr="003B15B7">
        <w:rPr>
          <w:rFonts w:ascii="Arial" w:hAnsi="Arial" w:cs="Arial"/>
          <w:b/>
          <w:bCs/>
          <w:sz w:val="20"/>
          <w:szCs w:val="20"/>
        </w:rPr>
        <w:t>9. Fideicomisos, Mandatos y Análogos:</w:t>
      </w:r>
    </w:p>
    <w:p w14:paraId="06DA1751" w14:textId="6F619048"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14:paraId="32AE5FE1" w14:textId="1AD4A45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8B8C135" w14:textId="79088D16" w:rsidR="00A25CDE" w:rsidRDefault="00A25CDE" w:rsidP="00A25CDE">
      <w:pPr>
        <w:jc w:val="both"/>
        <w:rPr>
          <w:rFonts w:ascii="Arial" w:hAnsi="Arial" w:cs="Arial"/>
          <w:sz w:val="20"/>
          <w:szCs w:val="20"/>
        </w:rPr>
      </w:pPr>
      <w:r w:rsidRPr="003B15B7">
        <w:rPr>
          <w:rFonts w:ascii="Arial" w:hAnsi="Arial" w:cs="Arial"/>
          <w:b/>
          <w:bCs/>
          <w:sz w:val="20"/>
          <w:szCs w:val="20"/>
        </w:rPr>
        <w:lastRenderedPageBreak/>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14:paraId="2B723F9B" w14:textId="33B2EC40" w:rsidR="001F4A46" w:rsidRPr="00E4387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0EBB3362" w14:textId="1C66B674"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10. Reporte de la Recaudación:</w:t>
      </w:r>
    </w:p>
    <w:p w14:paraId="58708643" w14:textId="3F20510D"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582A21DC" w14:textId="7AD5EA8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w:t>
      </w:r>
      <w:r w:rsidR="00E14B0F">
        <w:rPr>
          <w:rFonts w:ascii="Arial" w:hAnsi="Arial" w:cs="Arial"/>
          <w:sz w:val="20"/>
          <w:szCs w:val="20"/>
          <w:u w:val="single"/>
        </w:rPr>
        <w:t>propios,</w:t>
      </w:r>
      <w:r>
        <w:rPr>
          <w:rFonts w:ascii="Arial" w:hAnsi="Arial" w:cs="Arial"/>
          <w:sz w:val="20"/>
          <w:szCs w:val="20"/>
          <w:u w:val="single"/>
        </w:rPr>
        <w:t xml:space="preserve"> </w:t>
      </w:r>
      <w:r w:rsidR="00E14B0F">
        <w:rPr>
          <w:rFonts w:ascii="Arial" w:hAnsi="Arial" w:cs="Arial"/>
          <w:sz w:val="20"/>
          <w:szCs w:val="20"/>
          <w:u w:val="single"/>
        </w:rPr>
        <w:t xml:space="preserve">así como por aportaciones y convenios al </w:t>
      </w:r>
      <w:r>
        <w:rPr>
          <w:rFonts w:ascii="Arial" w:hAnsi="Arial" w:cs="Arial"/>
          <w:sz w:val="20"/>
          <w:szCs w:val="20"/>
          <w:u w:val="single"/>
        </w:rPr>
        <w:t>3</w:t>
      </w:r>
      <w:r w:rsidR="00145C94">
        <w:rPr>
          <w:rFonts w:ascii="Arial" w:hAnsi="Arial" w:cs="Arial"/>
          <w:sz w:val="20"/>
          <w:szCs w:val="20"/>
          <w:u w:val="single"/>
        </w:rPr>
        <w:t>1</w:t>
      </w:r>
      <w:r>
        <w:rPr>
          <w:rFonts w:ascii="Arial" w:hAnsi="Arial" w:cs="Arial"/>
          <w:sz w:val="20"/>
          <w:szCs w:val="20"/>
          <w:u w:val="single"/>
        </w:rPr>
        <w:t>.</w:t>
      </w:r>
      <w:r w:rsidR="00E012A1">
        <w:rPr>
          <w:rFonts w:ascii="Arial" w:hAnsi="Arial" w:cs="Arial"/>
          <w:sz w:val="20"/>
          <w:szCs w:val="20"/>
          <w:u w:val="single"/>
        </w:rPr>
        <w:t>03</w:t>
      </w:r>
      <w:r>
        <w:rPr>
          <w:rFonts w:ascii="Arial" w:hAnsi="Arial" w:cs="Arial"/>
          <w:sz w:val="20"/>
          <w:szCs w:val="20"/>
          <w:u w:val="single"/>
        </w:rPr>
        <w:t>.202</w:t>
      </w:r>
      <w:r w:rsidR="00E012A1">
        <w:rPr>
          <w:rFonts w:ascii="Arial" w:hAnsi="Arial" w:cs="Arial"/>
          <w:sz w:val="20"/>
          <w:szCs w:val="20"/>
          <w:u w:val="single"/>
        </w:rPr>
        <w:t>1</w:t>
      </w:r>
      <w:r w:rsidRPr="003B15B7">
        <w:rPr>
          <w:rFonts w:ascii="Arial" w:hAnsi="Arial" w:cs="Arial"/>
          <w:sz w:val="20"/>
          <w:szCs w:val="20"/>
          <w:u w:val="single"/>
        </w:rPr>
        <w:t xml:space="preserve"> </w:t>
      </w:r>
      <w:r w:rsidR="00145C94">
        <w:rPr>
          <w:rFonts w:ascii="Arial" w:hAnsi="Arial" w:cs="Arial"/>
          <w:sz w:val="20"/>
          <w:szCs w:val="20"/>
          <w:u w:val="single"/>
        </w:rPr>
        <w:t>fue de $</w:t>
      </w:r>
      <w:r w:rsidR="00E012A1">
        <w:rPr>
          <w:rFonts w:ascii="Arial" w:hAnsi="Arial" w:cs="Arial"/>
          <w:sz w:val="20"/>
          <w:szCs w:val="20"/>
          <w:u w:val="single"/>
        </w:rPr>
        <w:t xml:space="preserve">19,924,555.58 </w:t>
      </w:r>
      <w:r w:rsidRPr="003B15B7">
        <w:rPr>
          <w:rFonts w:ascii="Arial" w:hAnsi="Arial" w:cs="Arial"/>
          <w:sz w:val="20"/>
          <w:szCs w:val="20"/>
          <w:u w:val="single"/>
        </w:rPr>
        <w:t>el cual se integra por:</w:t>
      </w:r>
    </w:p>
    <w:p w14:paraId="07B92DC4" w14:textId="71A51382" w:rsidR="00145C94" w:rsidRPr="003B15B7" w:rsidRDefault="00145C94" w:rsidP="00145C94">
      <w:pPr>
        <w:jc w:val="both"/>
        <w:rPr>
          <w:rFonts w:ascii="Arial" w:hAnsi="Arial" w:cs="Arial"/>
          <w:sz w:val="20"/>
          <w:szCs w:val="20"/>
          <w:u w:val="single"/>
        </w:rPr>
      </w:pPr>
      <w:r w:rsidRPr="003B15B7">
        <w:rPr>
          <w:rFonts w:ascii="Arial" w:hAnsi="Arial" w:cs="Arial"/>
          <w:sz w:val="20"/>
          <w:szCs w:val="20"/>
          <w:u w:val="single"/>
        </w:rPr>
        <w:t>Aportación Estatal</w:t>
      </w:r>
      <w:r>
        <w:rPr>
          <w:rFonts w:ascii="Arial" w:hAnsi="Arial" w:cs="Arial"/>
          <w:sz w:val="20"/>
          <w:szCs w:val="20"/>
          <w:u w:val="single"/>
        </w:rPr>
        <w:t xml:space="preserve">  </w:t>
      </w:r>
      <w:r w:rsidRPr="003B15B7">
        <w:rPr>
          <w:rFonts w:ascii="Arial" w:hAnsi="Arial" w:cs="Arial"/>
          <w:sz w:val="20"/>
          <w:szCs w:val="20"/>
          <w:u w:val="single"/>
        </w:rPr>
        <w:t xml:space="preserve"> </w:t>
      </w:r>
      <w:r w:rsidR="00E012A1">
        <w:rPr>
          <w:rFonts w:ascii="Arial" w:hAnsi="Arial" w:cs="Arial"/>
          <w:sz w:val="20"/>
          <w:szCs w:val="20"/>
          <w:u w:val="single"/>
        </w:rPr>
        <w:t xml:space="preserve">   $ 8</w:t>
      </w:r>
      <w:r>
        <w:rPr>
          <w:rFonts w:ascii="Arial" w:hAnsi="Arial" w:cs="Arial"/>
          <w:sz w:val="20"/>
          <w:szCs w:val="20"/>
          <w:u w:val="single"/>
        </w:rPr>
        <w:t>,</w:t>
      </w:r>
      <w:r w:rsidR="00E012A1">
        <w:rPr>
          <w:rFonts w:ascii="Arial" w:hAnsi="Arial" w:cs="Arial"/>
          <w:sz w:val="20"/>
          <w:szCs w:val="20"/>
          <w:u w:val="single"/>
        </w:rPr>
        <w:t>624,778.00</w:t>
      </w:r>
    </w:p>
    <w:p w14:paraId="661D66F5" w14:textId="613C645D" w:rsidR="00145C94" w:rsidRPr="003B15B7" w:rsidRDefault="00E14B0F" w:rsidP="00145C94">
      <w:pPr>
        <w:jc w:val="both"/>
        <w:rPr>
          <w:rFonts w:ascii="Arial" w:hAnsi="Arial" w:cs="Arial"/>
          <w:sz w:val="20"/>
          <w:szCs w:val="20"/>
          <w:u w:val="single"/>
        </w:rPr>
      </w:pPr>
      <w:r>
        <w:rPr>
          <w:rFonts w:ascii="Arial" w:hAnsi="Arial" w:cs="Arial"/>
          <w:sz w:val="20"/>
          <w:szCs w:val="20"/>
          <w:u w:val="single"/>
        </w:rPr>
        <w:t xml:space="preserve">Convenio </w:t>
      </w:r>
      <w:r w:rsidRPr="003B15B7">
        <w:rPr>
          <w:rFonts w:ascii="Arial" w:hAnsi="Arial" w:cs="Arial"/>
          <w:sz w:val="20"/>
          <w:szCs w:val="20"/>
          <w:u w:val="single"/>
        </w:rPr>
        <w:t>Federal</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w:t>
      </w:r>
      <w:r w:rsidR="00145C94" w:rsidRPr="003B15B7">
        <w:rPr>
          <w:rFonts w:ascii="Arial" w:hAnsi="Arial" w:cs="Arial"/>
          <w:sz w:val="20"/>
          <w:szCs w:val="20"/>
          <w:u w:val="single"/>
        </w:rPr>
        <w:t xml:space="preserve"> </w:t>
      </w:r>
      <w:r w:rsidR="00E012A1">
        <w:rPr>
          <w:rFonts w:ascii="Arial" w:hAnsi="Arial" w:cs="Arial"/>
          <w:sz w:val="20"/>
          <w:szCs w:val="20"/>
          <w:u w:val="single"/>
        </w:rPr>
        <w:t>6,901,792.00</w:t>
      </w:r>
    </w:p>
    <w:p w14:paraId="1103AC09" w14:textId="080926DE" w:rsidR="00145C94" w:rsidRDefault="00145C94" w:rsidP="00145C94">
      <w:pPr>
        <w:jc w:val="both"/>
        <w:rPr>
          <w:rFonts w:ascii="Arial" w:hAnsi="Arial" w:cs="Arial"/>
          <w:sz w:val="20"/>
          <w:szCs w:val="20"/>
          <w:u w:val="single"/>
        </w:rPr>
      </w:pPr>
      <w:r w:rsidRPr="003B15B7">
        <w:rPr>
          <w:rFonts w:ascii="Arial" w:hAnsi="Arial" w:cs="Arial"/>
          <w:sz w:val="20"/>
          <w:szCs w:val="20"/>
          <w:u w:val="single"/>
        </w:rPr>
        <w:t xml:space="preserve">Ingresos Propios   </w:t>
      </w:r>
      <w:r>
        <w:rPr>
          <w:rFonts w:ascii="Arial" w:hAnsi="Arial" w:cs="Arial"/>
          <w:sz w:val="20"/>
          <w:szCs w:val="20"/>
          <w:u w:val="single"/>
        </w:rPr>
        <w:t xml:space="preserve"> </w:t>
      </w:r>
      <w:r w:rsidRPr="003B15B7">
        <w:rPr>
          <w:rFonts w:ascii="Arial" w:hAnsi="Arial" w:cs="Arial"/>
          <w:sz w:val="20"/>
          <w:szCs w:val="20"/>
          <w:u w:val="single"/>
        </w:rPr>
        <w:t xml:space="preserve"> </w:t>
      </w:r>
      <w:r w:rsidR="00E012A1">
        <w:rPr>
          <w:rFonts w:ascii="Arial" w:hAnsi="Arial" w:cs="Arial"/>
          <w:sz w:val="20"/>
          <w:szCs w:val="20"/>
          <w:u w:val="single"/>
        </w:rPr>
        <w:t xml:space="preserve">   $ 3,634,733.79</w:t>
      </w:r>
    </w:p>
    <w:p w14:paraId="54EB7F61" w14:textId="49496937" w:rsidR="00145C94" w:rsidRDefault="00E012A1" w:rsidP="00145C94">
      <w:pPr>
        <w:jc w:val="both"/>
        <w:rPr>
          <w:rFonts w:ascii="Arial" w:hAnsi="Arial" w:cs="Arial"/>
          <w:sz w:val="20"/>
          <w:szCs w:val="20"/>
          <w:u w:val="single"/>
        </w:rPr>
      </w:pPr>
      <w:r>
        <w:rPr>
          <w:rFonts w:ascii="Arial" w:hAnsi="Arial" w:cs="Arial"/>
          <w:sz w:val="20"/>
          <w:szCs w:val="20"/>
          <w:u w:val="single"/>
        </w:rPr>
        <w:t xml:space="preserve">FAM                           </w:t>
      </w:r>
      <w:r w:rsidR="00E14B0F">
        <w:rPr>
          <w:rFonts w:ascii="Arial" w:hAnsi="Arial" w:cs="Arial"/>
          <w:sz w:val="20"/>
          <w:szCs w:val="20"/>
          <w:u w:val="single"/>
        </w:rPr>
        <w:t xml:space="preserve"> </w:t>
      </w:r>
      <w:r>
        <w:rPr>
          <w:rFonts w:ascii="Arial" w:hAnsi="Arial" w:cs="Arial"/>
          <w:sz w:val="20"/>
          <w:szCs w:val="20"/>
          <w:u w:val="single"/>
        </w:rPr>
        <w:t>$   633,251.79</w:t>
      </w:r>
    </w:p>
    <w:p w14:paraId="4049184A" w14:textId="2D92763C" w:rsidR="00E012A1" w:rsidRDefault="00E012A1" w:rsidP="00145C94">
      <w:pPr>
        <w:jc w:val="both"/>
        <w:rPr>
          <w:rFonts w:ascii="Arial" w:hAnsi="Arial" w:cs="Arial"/>
          <w:sz w:val="20"/>
          <w:szCs w:val="20"/>
          <w:u w:val="single"/>
        </w:rPr>
      </w:pPr>
      <w:r>
        <w:rPr>
          <w:rFonts w:ascii="Arial" w:hAnsi="Arial" w:cs="Arial"/>
          <w:sz w:val="20"/>
          <w:szCs w:val="20"/>
          <w:u w:val="single"/>
        </w:rPr>
        <w:t>PRODEP                    $    130,000.00</w:t>
      </w:r>
    </w:p>
    <w:p w14:paraId="45C61046" w14:textId="77777777" w:rsidR="00E14B0F" w:rsidRDefault="00E14B0F" w:rsidP="00A25CDE">
      <w:pPr>
        <w:jc w:val="both"/>
        <w:rPr>
          <w:rFonts w:ascii="Arial" w:hAnsi="Arial" w:cs="Arial"/>
          <w:sz w:val="20"/>
          <w:szCs w:val="20"/>
          <w:u w:val="single"/>
        </w:rPr>
      </w:pPr>
    </w:p>
    <w:p w14:paraId="66A04912" w14:textId="03D96360" w:rsidR="00A25CDE" w:rsidRPr="001F4A46" w:rsidRDefault="00A25CDE" w:rsidP="00A25CDE">
      <w:pPr>
        <w:jc w:val="both"/>
        <w:rPr>
          <w:rFonts w:ascii="Arial" w:hAnsi="Arial" w:cs="Arial"/>
          <w:sz w:val="20"/>
          <w:szCs w:val="20"/>
          <w:u w:val="single"/>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14:paraId="46A80A79" w14:textId="632A6B01" w:rsidR="00F927AC" w:rsidRDefault="00E14B0F" w:rsidP="00F927AC">
      <w:pPr>
        <w:jc w:val="both"/>
        <w:rPr>
          <w:rFonts w:ascii="Arial" w:hAnsi="Arial" w:cs="Arial"/>
          <w:sz w:val="20"/>
          <w:szCs w:val="20"/>
          <w:u w:val="single"/>
        </w:rPr>
      </w:pPr>
      <w:r>
        <w:rPr>
          <w:rFonts w:ascii="Arial" w:hAnsi="Arial" w:cs="Arial"/>
          <w:sz w:val="20"/>
          <w:szCs w:val="20"/>
          <w:u w:val="single"/>
        </w:rPr>
        <w:t xml:space="preserve">El recurso aportado por el Estado y la Federación se recibió </w:t>
      </w:r>
      <w:r w:rsidR="00F927AC">
        <w:rPr>
          <w:rFonts w:ascii="Arial" w:hAnsi="Arial" w:cs="Arial"/>
          <w:sz w:val="20"/>
          <w:szCs w:val="20"/>
          <w:u w:val="single"/>
        </w:rPr>
        <w:t xml:space="preserve">conforme a lo calendarizado </w:t>
      </w:r>
      <w:r w:rsidR="00F927AC" w:rsidRPr="008B4FFD">
        <w:rPr>
          <w:rFonts w:ascii="Arial" w:hAnsi="Arial" w:cs="Arial"/>
          <w:sz w:val="20"/>
          <w:szCs w:val="20"/>
          <w:u w:val="single"/>
        </w:rPr>
        <w:t>y</w:t>
      </w:r>
      <w:r w:rsidR="00F927AC">
        <w:rPr>
          <w:rFonts w:ascii="Arial" w:hAnsi="Arial" w:cs="Arial"/>
          <w:sz w:val="20"/>
          <w:szCs w:val="20"/>
          <w:u w:val="single"/>
        </w:rPr>
        <w:t xml:space="preserve"> en</w:t>
      </w:r>
      <w:r w:rsidR="00F927AC" w:rsidRPr="008B4FFD">
        <w:rPr>
          <w:rFonts w:ascii="Arial" w:hAnsi="Arial" w:cs="Arial"/>
          <w:sz w:val="20"/>
          <w:szCs w:val="20"/>
          <w:u w:val="single"/>
        </w:rPr>
        <w:t xml:space="preserve"> </w:t>
      </w:r>
      <w:r w:rsidR="00F927AC">
        <w:rPr>
          <w:rFonts w:ascii="Arial" w:hAnsi="Arial" w:cs="Arial"/>
          <w:sz w:val="20"/>
          <w:szCs w:val="20"/>
          <w:u w:val="single"/>
        </w:rPr>
        <w:t xml:space="preserve">los Ingresos Propios </w:t>
      </w:r>
      <w:r>
        <w:rPr>
          <w:rFonts w:ascii="Arial" w:hAnsi="Arial" w:cs="Arial"/>
          <w:sz w:val="20"/>
          <w:szCs w:val="20"/>
          <w:u w:val="single"/>
        </w:rPr>
        <w:t>se lleva un avance de recaudación al 31 de marzo de 2021 del 33.86</w:t>
      </w:r>
      <w:r w:rsidR="00F6600F">
        <w:rPr>
          <w:rFonts w:ascii="Arial" w:hAnsi="Arial" w:cs="Arial"/>
          <w:sz w:val="20"/>
          <w:szCs w:val="20"/>
          <w:u w:val="single"/>
        </w:rPr>
        <w:t>% sobre</w:t>
      </w:r>
      <w:r w:rsidR="00F927AC">
        <w:rPr>
          <w:rFonts w:ascii="Arial" w:hAnsi="Arial" w:cs="Arial"/>
          <w:sz w:val="20"/>
          <w:szCs w:val="20"/>
          <w:u w:val="single"/>
        </w:rPr>
        <w:t xml:space="preserve"> lo pronosticado.</w:t>
      </w:r>
    </w:p>
    <w:p w14:paraId="6732DDC6" w14:textId="5912A55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14:paraId="443EC187" w14:textId="37D68317"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14:paraId="461611FC" w14:textId="4ACC249E"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14:paraId="7E6863C2" w14:textId="0ED2D17F" w:rsidR="00A25CDE"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645C3EA6" w14:textId="43C6A77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13. Proceso de Mejora:</w:t>
      </w:r>
    </w:p>
    <w:p w14:paraId="3BA3A572" w14:textId="1EFE8FDF" w:rsidR="00A25CDE" w:rsidRPr="003B15B7" w:rsidRDefault="00A25CDE" w:rsidP="00A25CDE">
      <w:pPr>
        <w:jc w:val="both"/>
        <w:rPr>
          <w:rFonts w:ascii="Arial" w:hAnsi="Arial" w:cs="Arial"/>
          <w:sz w:val="20"/>
          <w:szCs w:val="20"/>
        </w:rPr>
      </w:pPr>
      <w:r w:rsidRPr="003B15B7">
        <w:rPr>
          <w:rFonts w:ascii="Arial" w:hAnsi="Arial" w:cs="Arial"/>
          <w:sz w:val="20"/>
          <w:szCs w:val="20"/>
        </w:rPr>
        <w:t>Se informará de:</w:t>
      </w:r>
    </w:p>
    <w:p w14:paraId="27A3B96E" w14:textId="2CAE3EE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14:paraId="549E5723" w14:textId="0DC588D5" w:rsidR="00A25CDE" w:rsidRDefault="00A25CDE" w:rsidP="00A25CDE">
      <w:pPr>
        <w:jc w:val="both"/>
        <w:rPr>
          <w:rFonts w:ascii="Arial" w:hAnsi="Arial" w:cs="Arial"/>
          <w:sz w:val="20"/>
          <w:szCs w:val="20"/>
          <w:u w:val="single"/>
        </w:rPr>
      </w:pPr>
      <w:r>
        <w:rPr>
          <w:rFonts w:ascii="Arial" w:hAnsi="Arial" w:cs="Arial"/>
          <w:sz w:val="20"/>
          <w:szCs w:val="20"/>
          <w:u w:val="single"/>
        </w:rPr>
        <w:t>Existe en el ITSUR un comité de control interno encargado de promover el establecimiento y actualización del mismo, siempre apegado a los “Lineamientos Generales de Control Interno y sus Normas de Aplicación para la Administración Pública Estatal”. También se toma como base para el establecimiento de políticas de control interno los Lineamientos Generales de Racionalidad, Austeridad y Disciplina Presupuestal de la Administración Pública Estatal para el ejercicio 2020 y el Reglamente Interior del ITSUR.</w:t>
      </w:r>
      <w:r w:rsidRPr="003B15B7">
        <w:rPr>
          <w:rFonts w:ascii="Arial" w:hAnsi="Arial" w:cs="Arial"/>
          <w:sz w:val="20"/>
          <w:szCs w:val="20"/>
          <w:u w:val="single"/>
        </w:rPr>
        <w:t xml:space="preserve"> </w:t>
      </w:r>
    </w:p>
    <w:p w14:paraId="6081785E" w14:textId="758C85EA" w:rsidR="00A25CDE" w:rsidRPr="003B15B7" w:rsidRDefault="00A25CDE" w:rsidP="00A25CDE">
      <w:pPr>
        <w:jc w:val="both"/>
        <w:rPr>
          <w:rFonts w:ascii="Arial" w:hAnsi="Arial" w:cs="Arial"/>
          <w:sz w:val="20"/>
          <w:szCs w:val="20"/>
          <w:u w:val="single"/>
        </w:rPr>
      </w:pPr>
      <w:r>
        <w:rPr>
          <w:rFonts w:ascii="Arial" w:hAnsi="Arial" w:cs="Arial"/>
          <w:sz w:val="20"/>
          <w:szCs w:val="20"/>
          <w:u w:val="single"/>
        </w:rPr>
        <w:t>Se cuenta también con un Sistema de Gestión de la Calidad mismo que controla los procesos esenciales que opera el Instituto.</w:t>
      </w:r>
    </w:p>
    <w:p w14:paraId="71CD49E0" w14:textId="77777777" w:rsidR="00E14B0F" w:rsidRDefault="00E14B0F" w:rsidP="00A25CDE">
      <w:pPr>
        <w:jc w:val="both"/>
        <w:rPr>
          <w:rFonts w:ascii="Arial" w:hAnsi="Arial" w:cs="Arial"/>
          <w:b/>
          <w:bCs/>
          <w:sz w:val="20"/>
          <w:szCs w:val="20"/>
        </w:rPr>
      </w:pPr>
    </w:p>
    <w:p w14:paraId="1018BA9D" w14:textId="692955CB" w:rsidR="00A25CDE" w:rsidRDefault="00A25CDE" w:rsidP="00A25CDE">
      <w:pPr>
        <w:jc w:val="both"/>
        <w:rPr>
          <w:rFonts w:ascii="Arial" w:hAnsi="Arial" w:cs="Arial"/>
          <w:sz w:val="20"/>
          <w:szCs w:val="20"/>
        </w:rPr>
      </w:pPr>
      <w:r w:rsidRPr="003B15B7">
        <w:rPr>
          <w:rFonts w:ascii="Arial" w:hAnsi="Arial" w:cs="Arial"/>
          <w:b/>
          <w:bCs/>
          <w:sz w:val="20"/>
          <w:szCs w:val="20"/>
        </w:rPr>
        <w:lastRenderedPageBreak/>
        <w:t>b)</w:t>
      </w:r>
      <w:r w:rsidRPr="003B15B7">
        <w:rPr>
          <w:rFonts w:ascii="Arial" w:hAnsi="Arial" w:cs="Arial"/>
          <w:sz w:val="20"/>
          <w:szCs w:val="20"/>
        </w:rPr>
        <w:t xml:space="preserve"> Medidas de desempeño financiero, metas y alcance:</w:t>
      </w:r>
    </w:p>
    <w:p w14:paraId="02E3AC4B" w14:textId="2EEA373E"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w:t>
      </w:r>
      <w:r w:rsidR="00F927AC">
        <w:rPr>
          <w:rFonts w:ascii="Arial" w:hAnsi="Arial" w:cs="Arial"/>
          <w:sz w:val="20"/>
          <w:szCs w:val="20"/>
          <w:u w:val="single"/>
        </w:rPr>
        <w:t>2</w:t>
      </w:r>
      <w:r w:rsidR="00F6600F">
        <w:rPr>
          <w:rFonts w:ascii="Arial" w:hAnsi="Arial" w:cs="Arial"/>
          <w:sz w:val="20"/>
          <w:szCs w:val="20"/>
          <w:u w:val="single"/>
        </w:rPr>
        <w:t>1</w:t>
      </w:r>
      <w:r>
        <w:rPr>
          <w:rFonts w:ascii="Arial" w:hAnsi="Arial" w:cs="Arial"/>
          <w:sz w:val="20"/>
          <w:szCs w:val="20"/>
          <w:u w:val="single"/>
        </w:rPr>
        <w:t>.</w:t>
      </w:r>
      <w:r w:rsidRPr="003B15B7">
        <w:rPr>
          <w:rFonts w:ascii="Arial" w:hAnsi="Arial" w:cs="Arial"/>
          <w:sz w:val="20"/>
          <w:szCs w:val="20"/>
          <w:u w:val="single"/>
        </w:rPr>
        <w:t xml:space="preserve"> </w:t>
      </w:r>
    </w:p>
    <w:p w14:paraId="7318FBA4" w14:textId="77777777" w:rsidR="001F4A46" w:rsidRDefault="001F4A46" w:rsidP="00A25CDE">
      <w:pPr>
        <w:jc w:val="both"/>
        <w:rPr>
          <w:rFonts w:ascii="Arial" w:hAnsi="Arial" w:cs="Arial"/>
          <w:b/>
          <w:bCs/>
          <w:sz w:val="20"/>
          <w:szCs w:val="20"/>
        </w:rPr>
      </w:pPr>
    </w:p>
    <w:p w14:paraId="4A426B23" w14:textId="225D5F2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14. Información por Segmentos:</w:t>
      </w:r>
    </w:p>
    <w:p w14:paraId="4CB1B106" w14:textId="23107AB4" w:rsidR="00A25CDE" w:rsidRDefault="00A25CDE" w:rsidP="00A25CDE">
      <w:pPr>
        <w:jc w:val="both"/>
        <w:rPr>
          <w:rFonts w:ascii="Arial" w:hAnsi="Arial" w:cs="Arial"/>
          <w:sz w:val="20"/>
          <w:szCs w:val="20"/>
          <w:u w:val="single"/>
        </w:rPr>
      </w:pPr>
      <w:r>
        <w:rPr>
          <w:rFonts w:ascii="Arial" w:hAnsi="Arial" w:cs="Arial"/>
          <w:sz w:val="20"/>
          <w:szCs w:val="20"/>
          <w:u w:val="single"/>
        </w:rPr>
        <w:t>No aplica</w:t>
      </w:r>
    </w:p>
    <w:p w14:paraId="66608990" w14:textId="77777777" w:rsidR="001F4A46" w:rsidRDefault="001F4A46" w:rsidP="00A25CDE">
      <w:pPr>
        <w:jc w:val="both"/>
        <w:rPr>
          <w:rFonts w:ascii="Arial" w:hAnsi="Arial" w:cs="Arial"/>
          <w:b/>
          <w:bCs/>
          <w:sz w:val="20"/>
          <w:szCs w:val="20"/>
        </w:rPr>
      </w:pPr>
    </w:p>
    <w:p w14:paraId="7EC7FDBD" w14:textId="0C52FA7F" w:rsidR="00A25CDE" w:rsidRDefault="00A25CDE" w:rsidP="00A25CDE">
      <w:pPr>
        <w:jc w:val="both"/>
        <w:rPr>
          <w:rFonts w:ascii="Arial" w:hAnsi="Arial" w:cs="Arial"/>
          <w:b/>
          <w:bCs/>
          <w:sz w:val="20"/>
          <w:szCs w:val="20"/>
        </w:rPr>
      </w:pPr>
      <w:r w:rsidRPr="003B15B7">
        <w:rPr>
          <w:rFonts w:ascii="Arial" w:hAnsi="Arial" w:cs="Arial"/>
          <w:b/>
          <w:bCs/>
          <w:sz w:val="20"/>
          <w:szCs w:val="20"/>
        </w:rPr>
        <w:t>15. Eventos Posteriores al Cierre:</w:t>
      </w:r>
    </w:p>
    <w:p w14:paraId="1073104B" w14:textId="254ACA81" w:rsidR="00A25CDE" w:rsidRPr="00FE7F30" w:rsidRDefault="00A25CDE" w:rsidP="00A25CDE">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14:paraId="634B1210" w14:textId="77777777" w:rsidR="001F4A46" w:rsidRDefault="001F4A46" w:rsidP="00A25CDE">
      <w:pPr>
        <w:jc w:val="both"/>
        <w:rPr>
          <w:rFonts w:ascii="Arial" w:hAnsi="Arial" w:cs="Arial"/>
          <w:b/>
          <w:bCs/>
          <w:sz w:val="20"/>
          <w:szCs w:val="20"/>
        </w:rPr>
      </w:pPr>
    </w:p>
    <w:p w14:paraId="19655165" w14:textId="1BBE0178" w:rsidR="00A25CDE" w:rsidRDefault="00A25CDE" w:rsidP="00A25CDE">
      <w:pPr>
        <w:jc w:val="both"/>
        <w:rPr>
          <w:rFonts w:ascii="Arial" w:hAnsi="Arial" w:cs="Arial"/>
          <w:b/>
          <w:bCs/>
          <w:sz w:val="20"/>
          <w:szCs w:val="20"/>
        </w:rPr>
      </w:pPr>
      <w:r w:rsidRPr="003B15B7">
        <w:rPr>
          <w:rFonts w:ascii="Arial" w:hAnsi="Arial" w:cs="Arial"/>
          <w:b/>
          <w:bCs/>
          <w:sz w:val="20"/>
          <w:szCs w:val="20"/>
        </w:rPr>
        <w:t>16. Partes Relacionadas:</w:t>
      </w:r>
    </w:p>
    <w:p w14:paraId="441F4558" w14:textId="1A069B93" w:rsidR="00A25CDE" w:rsidRDefault="00A25CDE" w:rsidP="00A25CDE">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14:paraId="7EB40AEB" w14:textId="77777777" w:rsidR="00A25CDE" w:rsidRDefault="00A25CDE" w:rsidP="00A25CDE">
      <w:pPr>
        <w:jc w:val="both"/>
        <w:rPr>
          <w:rFonts w:ascii="Arial" w:hAnsi="Arial" w:cs="Arial"/>
          <w:sz w:val="20"/>
          <w:szCs w:val="20"/>
          <w:u w:val="single"/>
        </w:rPr>
      </w:pPr>
    </w:p>
    <w:p w14:paraId="1613CE67" w14:textId="54B9713E" w:rsidR="00A25CDE" w:rsidRDefault="00A25CDE" w:rsidP="00A25CDE">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14:paraId="58393A2E" w14:textId="77777777" w:rsidR="001F4A46" w:rsidRDefault="001F4A46" w:rsidP="00A25CDE">
      <w:pPr>
        <w:jc w:val="both"/>
        <w:rPr>
          <w:rFonts w:ascii="Arial" w:hAnsi="Arial"/>
          <w:b/>
          <w:bCs/>
          <w:i/>
          <w:iCs/>
          <w:sz w:val="20"/>
          <w:szCs w:val="20"/>
        </w:rPr>
      </w:pPr>
    </w:p>
    <w:p w14:paraId="60136401" w14:textId="77777777" w:rsidR="001F4A46" w:rsidRDefault="001F4A46" w:rsidP="00A25CDE">
      <w:pPr>
        <w:jc w:val="both"/>
        <w:rPr>
          <w:rFonts w:ascii="Arial" w:hAnsi="Arial"/>
          <w:b/>
          <w:bCs/>
          <w:i/>
          <w:iCs/>
          <w:sz w:val="20"/>
          <w:szCs w:val="20"/>
        </w:rPr>
      </w:pPr>
    </w:p>
    <w:p w14:paraId="34A4AA07" w14:textId="19ED1C08" w:rsidR="00A25CDE" w:rsidRPr="001B2C73" w:rsidRDefault="00A25CDE" w:rsidP="00A25CDE">
      <w:pPr>
        <w:jc w:val="both"/>
        <w:rPr>
          <w:rFonts w:ascii="Arial" w:hAnsi="Arial"/>
          <w:b/>
          <w:bCs/>
          <w:sz w:val="20"/>
          <w:szCs w:val="20"/>
        </w:rPr>
      </w:pPr>
      <w:r>
        <w:rPr>
          <w:rFonts w:ascii="Arial" w:hAnsi="Arial"/>
          <w:b/>
          <w:bCs/>
          <w:sz w:val="20"/>
          <w:szCs w:val="20"/>
        </w:rPr>
        <w:t xml:space="preserve">           Antonio Ramírez Vallejo                                                                    Gerardo Gámez García</w:t>
      </w:r>
    </w:p>
    <w:p w14:paraId="2C1B9F18" w14:textId="0AA9561C" w:rsidR="00A25CDE" w:rsidRPr="001B2C73" w:rsidRDefault="00A25CDE" w:rsidP="00A25CDE">
      <w:pPr>
        <w:jc w:val="both"/>
        <w:rPr>
          <w:rFonts w:ascii="Arial" w:hAnsi="Arial"/>
          <w:b/>
          <w:bCs/>
          <w:sz w:val="20"/>
          <w:szCs w:val="20"/>
        </w:rPr>
      </w:pPr>
      <w:r>
        <w:rPr>
          <w:rFonts w:ascii="Arial" w:hAnsi="Arial"/>
          <w:b/>
          <w:bCs/>
          <w:sz w:val="20"/>
          <w:szCs w:val="20"/>
        </w:rPr>
        <w:t xml:space="preserve">               </w:t>
      </w:r>
      <w:r w:rsidR="001F4A46">
        <w:rPr>
          <w:rFonts w:ascii="Arial" w:hAnsi="Arial"/>
          <w:b/>
          <w:bCs/>
          <w:sz w:val="20"/>
          <w:szCs w:val="20"/>
        </w:rPr>
        <w:t xml:space="preserve"> </w:t>
      </w:r>
      <w:r>
        <w:rPr>
          <w:rFonts w:ascii="Arial" w:hAnsi="Arial"/>
          <w:b/>
          <w:bCs/>
          <w:sz w:val="20"/>
          <w:szCs w:val="20"/>
        </w:rPr>
        <w:t>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14:paraId="3AB3194F" w14:textId="77777777" w:rsidR="00A25CDE" w:rsidRDefault="00A25CDE" w:rsidP="00A25CDE"/>
    <w:p w14:paraId="03DED162" w14:textId="77777777" w:rsidR="00A25CDE" w:rsidRPr="00F7241A" w:rsidRDefault="00A25CDE" w:rsidP="00A25CDE">
      <w:pPr>
        <w:rPr>
          <w:rFonts w:ascii="Arial" w:hAnsi="Arial" w:cs="Arial"/>
          <w:color w:val="323E4F" w:themeColor="text2" w:themeShade="BF"/>
          <w:sz w:val="20"/>
          <w:szCs w:val="20"/>
        </w:rPr>
      </w:pPr>
    </w:p>
    <w:p w14:paraId="16133C60" w14:textId="77777777" w:rsidR="00A25CDE" w:rsidRPr="00786EDC" w:rsidRDefault="00A25CDE" w:rsidP="00A25CDE"/>
    <w:p w14:paraId="63BAC0F6" w14:textId="77777777" w:rsidR="00A25CDE" w:rsidRPr="00E74967" w:rsidRDefault="00A25CDE" w:rsidP="00A25CDE">
      <w:pPr>
        <w:tabs>
          <w:tab w:val="left" w:leader="underscore" w:pos="9639"/>
        </w:tabs>
        <w:spacing w:after="0" w:line="240" w:lineRule="auto"/>
        <w:rPr>
          <w:rFonts w:cs="Calibri"/>
          <w:b/>
          <w:sz w:val="28"/>
          <w:szCs w:val="28"/>
        </w:rPr>
      </w:pP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C2909" w14:textId="77777777" w:rsidR="00E334AB" w:rsidRDefault="00E334AB" w:rsidP="00E00323">
      <w:pPr>
        <w:spacing w:after="0" w:line="240" w:lineRule="auto"/>
      </w:pPr>
      <w:r>
        <w:separator/>
      </w:r>
    </w:p>
  </w:endnote>
  <w:endnote w:type="continuationSeparator" w:id="0">
    <w:p w14:paraId="73AADF35" w14:textId="77777777" w:rsidR="00E334AB" w:rsidRDefault="00E334A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3412B41" w:rsidR="0012405A" w:rsidRDefault="0012405A">
        <w:pPr>
          <w:pStyle w:val="Piedepgina"/>
          <w:jc w:val="right"/>
        </w:pPr>
        <w:r>
          <w:fldChar w:fldCharType="begin"/>
        </w:r>
        <w:r>
          <w:instrText>PAGE   \* MERGEFORMAT</w:instrText>
        </w:r>
        <w:r>
          <w:fldChar w:fldCharType="separate"/>
        </w:r>
        <w:r w:rsidR="00A55A5C" w:rsidRPr="00A55A5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62380" w14:textId="77777777" w:rsidR="00E334AB" w:rsidRDefault="00E334AB" w:rsidP="00E00323">
      <w:pPr>
        <w:spacing w:after="0" w:line="240" w:lineRule="auto"/>
      </w:pPr>
      <w:r>
        <w:separator/>
      </w:r>
    </w:p>
  </w:footnote>
  <w:footnote w:type="continuationSeparator" w:id="0">
    <w:p w14:paraId="6493EE7F" w14:textId="77777777" w:rsidR="00E334AB" w:rsidRDefault="00E334A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747911B9" w:rsidR="00154BA3" w:rsidRDefault="00A25CDE" w:rsidP="00A4610E">
    <w:pPr>
      <w:pStyle w:val="Encabezado"/>
      <w:spacing w:after="0" w:line="240" w:lineRule="auto"/>
      <w:jc w:val="center"/>
    </w:pPr>
    <w:r>
      <w:t>INSTITUTO TECNOLOGICO SUPERIOR DEL SUR DE GUANAJUATO</w:t>
    </w:r>
  </w:p>
  <w:p w14:paraId="33C9D87C" w14:textId="57C551AF" w:rsidR="00A25CDE" w:rsidRDefault="00A25CDE" w:rsidP="00145C94">
    <w:pPr>
      <w:pStyle w:val="Encabezado"/>
      <w:spacing w:after="0" w:line="240" w:lineRule="auto"/>
      <w:jc w:val="center"/>
    </w:pPr>
    <w:r>
      <w:t>CORRESPONDIENTES AL 3</w:t>
    </w:r>
    <w:r w:rsidR="00145C94">
      <w:t>1</w:t>
    </w:r>
    <w:r>
      <w:t xml:space="preserve"> DE </w:t>
    </w:r>
    <w:r w:rsidR="00634BF0">
      <w:t>MARZO</w:t>
    </w:r>
    <w:r>
      <w:t xml:space="preserve"> DE</w:t>
    </w:r>
    <w:r w:rsidR="00145C94">
      <w:t>L</w:t>
    </w:r>
    <w:r>
      <w:t xml:space="preserve"> 202</w:t>
    </w:r>
    <w:r w:rsidR="00634BF0">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45C94"/>
    <w:rsid w:val="00154BA3"/>
    <w:rsid w:val="001973A2"/>
    <w:rsid w:val="001C75F2"/>
    <w:rsid w:val="001D2063"/>
    <w:rsid w:val="001D43E9"/>
    <w:rsid w:val="001F4A46"/>
    <w:rsid w:val="002170FC"/>
    <w:rsid w:val="003453CA"/>
    <w:rsid w:val="00435A87"/>
    <w:rsid w:val="004A58C8"/>
    <w:rsid w:val="004B5841"/>
    <w:rsid w:val="004F234D"/>
    <w:rsid w:val="0054701E"/>
    <w:rsid w:val="005B5531"/>
    <w:rsid w:val="005D24FB"/>
    <w:rsid w:val="005D3E43"/>
    <w:rsid w:val="005E231E"/>
    <w:rsid w:val="00634BF0"/>
    <w:rsid w:val="00635260"/>
    <w:rsid w:val="00657009"/>
    <w:rsid w:val="00681C79"/>
    <w:rsid w:val="007610BC"/>
    <w:rsid w:val="007714AB"/>
    <w:rsid w:val="007D0B34"/>
    <w:rsid w:val="007D1E76"/>
    <w:rsid w:val="007D4484"/>
    <w:rsid w:val="0086459F"/>
    <w:rsid w:val="008C3BB8"/>
    <w:rsid w:val="008E076C"/>
    <w:rsid w:val="0092765C"/>
    <w:rsid w:val="009712CE"/>
    <w:rsid w:val="009925DD"/>
    <w:rsid w:val="00A25CDE"/>
    <w:rsid w:val="00A4610E"/>
    <w:rsid w:val="00A55A5C"/>
    <w:rsid w:val="00A6238A"/>
    <w:rsid w:val="00A730E0"/>
    <w:rsid w:val="00A7345F"/>
    <w:rsid w:val="00AA41E5"/>
    <w:rsid w:val="00AA7F73"/>
    <w:rsid w:val="00AB722B"/>
    <w:rsid w:val="00AE1F6A"/>
    <w:rsid w:val="00C97E1E"/>
    <w:rsid w:val="00CB41C4"/>
    <w:rsid w:val="00CF1316"/>
    <w:rsid w:val="00D13C44"/>
    <w:rsid w:val="00D335CF"/>
    <w:rsid w:val="00D975B1"/>
    <w:rsid w:val="00E00323"/>
    <w:rsid w:val="00E012A1"/>
    <w:rsid w:val="00E14B0F"/>
    <w:rsid w:val="00E334AB"/>
    <w:rsid w:val="00E43877"/>
    <w:rsid w:val="00E74967"/>
    <w:rsid w:val="00E7559F"/>
    <w:rsid w:val="00EA37F5"/>
    <w:rsid w:val="00EA7915"/>
    <w:rsid w:val="00F46719"/>
    <w:rsid w:val="00F54F6F"/>
    <w:rsid w:val="00F65A92"/>
    <w:rsid w:val="00F6600F"/>
    <w:rsid w:val="00F92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A25CD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DBBA333-C215-443C-B129-CB90C98C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2398</Words>
  <Characters>13195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auxAdmon</cp:lastModifiedBy>
  <cp:revision>2</cp:revision>
  <dcterms:created xsi:type="dcterms:W3CDTF">2021-04-23T20:51:00Z</dcterms:created>
  <dcterms:modified xsi:type="dcterms:W3CDTF">2021-04-23T20:51:00Z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